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918" w:rsidRDefault="00582918" w:rsidP="00582918">
      <w:pPr>
        <w:spacing w:line="480" w:lineRule="auto"/>
        <w:jc w:val="center"/>
      </w:pPr>
    </w:p>
    <w:p w:rsidR="006F279D" w:rsidRDefault="006F279D" w:rsidP="00582918">
      <w:pPr>
        <w:spacing w:line="480" w:lineRule="auto"/>
        <w:jc w:val="center"/>
      </w:pPr>
    </w:p>
    <w:p w:rsidR="00582918" w:rsidRDefault="00582918" w:rsidP="00582918">
      <w:pPr>
        <w:spacing w:line="480" w:lineRule="auto"/>
        <w:jc w:val="center"/>
      </w:pPr>
    </w:p>
    <w:p w:rsidR="00582918" w:rsidRDefault="00582918" w:rsidP="00582918">
      <w:pPr>
        <w:spacing w:line="480" w:lineRule="auto"/>
        <w:jc w:val="center"/>
      </w:pPr>
    </w:p>
    <w:p w:rsidR="00582918" w:rsidRDefault="00582918" w:rsidP="00582918">
      <w:pPr>
        <w:spacing w:line="480" w:lineRule="auto"/>
        <w:jc w:val="center"/>
      </w:pPr>
    </w:p>
    <w:p w:rsidR="00582918" w:rsidRDefault="00582918" w:rsidP="00582918">
      <w:pPr>
        <w:spacing w:line="480" w:lineRule="auto"/>
        <w:jc w:val="center"/>
      </w:pPr>
    </w:p>
    <w:p w:rsidR="00382564" w:rsidRDefault="00382564" w:rsidP="00582918">
      <w:pPr>
        <w:spacing w:line="480" w:lineRule="auto"/>
        <w:jc w:val="center"/>
      </w:pPr>
      <w:r>
        <w:t xml:space="preserve">Advance Care Planning </w:t>
      </w:r>
      <w:r w:rsidR="005831B2">
        <w:t>(ACP)</w:t>
      </w:r>
      <w:r w:rsidR="00582918">
        <w:t>.</w:t>
      </w:r>
    </w:p>
    <w:p w:rsidR="00582918" w:rsidRDefault="00582918" w:rsidP="00582918">
      <w:pPr>
        <w:spacing w:line="480" w:lineRule="auto"/>
        <w:jc w:val="center"/>
      </w:pPr>
      <w:r>
        <w:t>Name.</w:t>
      </w:r>
    </w:p>
    <w:p w:rsidR="00582918" w:rsidRDefault="00582918" w:rsidP="00582918">
      <w:pPr>
        <w:spacing w:line="480" w:lineRule="auto"/>
        <w:jc w:val="center"/>
      </w:pPr>
      <w:r>
        <w:t>Institution.</w:t>
      </w:r>
    </w:p>
    <w:p w:rsidR="00582918" w:rsidRDefault="00582918" w:rsidP="00582918">
      <w:pPr>
        <w:spacing w:line="480" w:lineRule="auto"/>
        <w:jc w:val="center"/>
      </w:pPr>
      <w:r>
        <w:t>Date.</w:t>
      </w:r>
    </w:p>
    <w:p w:rsidR="00582918" w:rsidRDefault="00582918" w:rsidP="00582918">
      <w:pPr>
        <w:spacing w:line="480" w:lineRule="auto"/>
        <w:jc w:val="center"/>
      </w:pPr>
    </w:p>
    <w:p w:rsidR="00582918" w:rsidRDefault="00582918" w:rsidP="00582918">
      <w:pPr>
        <w:spacing w:line="480" w:lineRule="auto"/>
        <w:jc w:val="center"/>
      </w:pPr>
    </w:p>
    <w:p w:rsidR="00582918" w:rsidRDefault="00582918" w:rsidP="00582918">
      <w:pPr>
        <w:spacing w:line="480" w:lineRule="auto"/>
        <w:jc w:val="center"/>
      </w:pPr>
    </w:p>
    <w:p w:rsidR="00582918" w:rsidRDefault="00582918" w:rsidP="00582918">
      <w:pPr>
        <w:spacing w:line="480" w:lineRule="auto"/>
        <w:jc w:val="center"/>
      </w:pPr>
    </w:p>
    <w:p w:rsidR="00582918" w:rsidRDefault="00582918" w:rsidP="00582918">
      <w:pPr>
        <w:spacing w:line="480" w:lineRule="auto"/>
        <w:jc w:val="center"/>
      </w:pPr>
    </w:p>
    <w:p w:rsidR="006F279D" w:rsidRDefault="006F279D" w:rsidP="00582918">
      <w:pPr>
        <w:spacing w:line="480" w:lineRule="auto"/>
        <w:jc w:val="center"/>
      </w:pPr>
    </w:p>
    <w:p w:rsidR="006F279D" w:rsidRDefault="006F279D" w:rsidP="00582918">
      <w:pPr>
        <w:spacing w:line="480" w:lineRule="auto"/>
        <w:jc w:val="center"/>
      </w:pPr>
    </w:p>
    <w:p w:rsidR="00582918" w:rsidRDefault="00582918" w:rsidP="00582918">
      <w:pPr>
        <w:spacing w:line="480" w:lineRule="auto"/>
        <w:jc w:val="center"/>
      </w:pPr>
      <w:r>
        <w:lastRenderedPageBreak/>
        <w:t>Advance Care Planning (ACP)</w:t>
      </w:r>
    </w:p>
    <w:p w:rsidR="005831B2" w:rsidRDefault="005831B2" w:rsidP="00582918">
      <w:pPr>
        <w:spacing w:line="480" w:lineRule="auto"/>
        <w:ind w:firstLine="720"/>
      </w:pPr>
      <w:r>
        <w:t>ACP is commonly referred as advance directives. It denotes to a process by which a patient forms decisions that are used as a guideline to his/future healthcare plans. The Advance Directive is founded on ethical principles of esteem for patient autonomy</w:t>
      </w:r>
      <w:sdt>
        <w:sdtPr>
          <w:id w:val="1199537"/>
          <w:citation/>
        </w:sdtPr>
        <w:sdtContent>
          <w:fldSimple w:instr=" CITATION Ott10 \l 1033 ">
            <w:r w:rsidR="00A153BC">
              <w:rPr>
                <w:noProof/>
              </w:rPr>
              <w:t xml:space="preserve"> (Ottmann, 2010)</w:t>
            </w:r>
          </w:fldSimple>
        </w:sdtContent>
      </w:sdt>
      <w:r>
        <w:t xml:space="preserve">. Usually, the ACP </w:t>
      </w:r>
      <w:r w:rsidR="00CD69AE">
        <w:t>reflects</w:t>
      </w:r>
      <w:r>
        <w:t xml:space="preserve"> the values and concerns of the patient. On the other hand, before commitment to Advance Directives, the patient</w:t>
      </w:r>
      <w:r w:rsidR="00CD69AE">
        <w:t>s</w:t>
      </w:r>
      <w:r>
        <w:t xml:space="preserve"> </w:t>
      </w:r>
      <w:r w:rsidR="00CD69AE">
        <w:t>are</w:t>
      </w:r>
      <w:r>
        <w:t xml:space="preserve"> required to understand </w:t>
      </w:r>
      <w:r w:rsidR="00CD69AE">
        <w:t>their medical situations as well as the burden that comes with the possible treatments. The advance Directives are pivotal in guiding the doctors on the decision making when the patient is unable to speak for self</w:t>
      </w:r>
      <w:sdt>
        <w:sdtPr>
          <w:id w:val="1199536"/>
          <w:citation/>
        </w:sdtPr>
        <w:sdtContent>
          <w:fldSimple w:instr=" CITATION Det10 \l 1033 ">
            <w:r w:rsidR="00A153BC">
              <w:rPr>
                <w:noProof/>
              </w:rPr>
              <w:t xml:space="preserve"> (Detering, 2010)</w:t>
            </w:r>
          </w:fldSimple>
        </w:sdtContent>
      </w:sdt>
      <w:r w:rsidR="00CD69AE">
        <w:t>. This paper reflects on the success of advance Care Planning as well as the controversies tied with commitment to the plan.</w:t>
      </w:r>
    </w:p>
    <w:p w:rsidR="00382564" w:rsidRDefault="00CD69AE" w:rsidP="00582918">
      <w:pPr>
        <w:spacing w:line="480" w:lineRule="auto"/>
        <w:ind w:firstLine="720"/>
      </w:pPr>
      <w:r>
        <w:t>For Advance directives to be a success, intensive communication between the doctor, the patient and the surrogate decision makers is imperative. The communi</w:t>
      </w:r>
      <w:r w:rsidR="00226B52">
        <w:t>cation between all the parties reveals whether further treatment will improve the health of the patient or not and hence the patient makes a good decision with true information. The communication includes the formal (legal) advance directives and communication without legal documents.</w:t>
      </w:r>
      <w:sdt>
        <w:sdtPr>
          <w:id w:val="1199535"/>
          <w:citation/>
        </w:sdtPr>
        <w:sdtContent>
          <w:fldSimple w:instr=" CITATION Ott10 \l 1033 ">
            <w:r w:rsidR="00A153BC">
              <w:rPr>
                <w:noProof/>
              </w:rPr>
              <w:t xml:space="preserve"> (Ottmann, 2010)</w:t>
            </w:r>
          </w:fldSimple>
        </w:sdtContent>
      </w:sdt>
      <w:r w:rsidR="00226B52">
        <w:t xml:space="preserve"> </w:t>
      </w:r>
      <w:r w:rsidR="00850FB7">
        <w:t>The legal documents are of two types: the living will and medical power of Attorney. However, after detailed communication regarding the type of treatments, the decision to complete the advance directive is left solely on the patient. On the other hand, the decisions re</w:t>
      </w:r>
      <w:r w:rsidR="00DE42E3">
        <w:t xml:space="preserve">garding the end of life care are </w:t>
      </w:r>
      <w:r w:rsidR="00850FB7">
        <w:t>not only made because of the available treatments</w:t>
      </w:r>
      <w:r w:rsidR="00DE42E3">
        <w:t xml:space="preserve"> but also on the basis of</w:t>
      </w:r>
      <w:r w:rsidR="00850FB7">
        <w:t xml:space="preserve"> patient</w:t>
      </w:r>
      <w:r w:rsidR="00DE42E3">
        <w:t>’s</w:t>
      </w:r>
      <w:r w:rsidR="00850FB7">
        <w:t xml:space="preserve"> beliefs and wishes.</w:t>
      </w:r>
    </w:p>
    <w:p w:rsidR="008B3680" w:rsidRDefault="008B3680" w:rsidP="00582918">
      <w:pPr>
        <w:spacing w:line="480" w:lineRule="auto"/>
        <w:ind w:firstLine="720"/>
      </w:pPr>
      <w:r>
        <w:t xml:space="preserve">In my opinion, end-of-life care is crucial as it provides maximum time with the family. Usually, the end-of-life care is controlled by two documents, which are the living will and health </w:t>
      </w:r>
      <w:r>
        <w:lastRenderedPageBreak/>
        <w:t>care power of attorney. A living will allows the patient to put into writing all the wishes regarding the medical treatment at the end of his/her life</w:t>
      </w:r>
      <w:sdt>
        <w:sdtPr>
          <w:id w:val="1199534"/>
          <w:citation/>
        </w:sdtPr>
        <w:sdtContent>
          <w:fldSimple w:instr=" CITATION Ste11 \l 1033 ">
            <w:r w:rsidR="00A153BC">
              <w:rPr>
                <w:noProof/>
              </w:rPr>
              <w:t xml:space="preserve"> (Stevens, 2011)</w:t>
            </w:r>
          </w:fldSimple>
        </w:sdtContent>
      </w:sdt>
      <w:r>
        <w:t xml:space="preserve">. The importance of the document is that it guides the doctors and the family members on fulfilling the final wishes of the patient. The constitution allows the patient to accept or deny any treatment. However, some states will limit treatments to some ailments. The second document is the healthcare power of Attorney. </w:t>
      </w:r>
      <w:r w:rsidR="002F11EC">
        <w:t>In some cases, the patient might not write down his/her wishes but instead might select a person to make the decisions regarding the treatment on behalf. The se</w:t>
      </w:r>
      <w:r w:rsidR="00DE42E3">
        <w:t>lected person is referred as a</w:t>
      </w:r>
      <w:r w:rsidR="002F11EC">
        <w:t xml:space="preserve"> healthcare agent or attorney-in-fact or a surrogate or a healthcare proxy. Usually, the healthcare agent is only allowed to make decisions regarding the treatment and not the financial decisions.</w:t>
      </w:r>
    </w:p>
    <w:p w:rsidR="002F11EC" w:rsidRDefault="002F11EC" w:rsidP="00582918">
      <w:pPr>
        <w:spacing w:line="480" w:lineRule="auto"/>
        <w:ind w:firstLine="720"/>
      </w:pPr>
      <w:r>
        <w:t>Notably, most patients would prefer to end their l</w:t>
      </w:r>
      <w:r w:rsidR="00DE42E3">
        <w:t>ives at home but instead end their</w:t>
      </w:r>
      <w:r>
        <w:t xml:space="preserve"> life at medical institution. Such scenarios are prevalent in cases where the patient commits to the health care power of the attorney end of life care</w:t>
      </w:r>
      <w:sdt>
        <w:sdtPr>
          <w:id w:val="1199533"/>
          <w:citation/>
        </w:sdtPr>
        <w:sdtContent>
          <w:fldSimple w:instr=" CITATION Det10 \l 1033 ">
            <w:r w:rsidR="00A153BC">
              <w:rPr>
                <w:noProof/>
              </w:rPr>
              <w:t xml:space="preserve"> (Detering, 2010)</w:t>
            </w:r>
          </w:fldSimple>
        </w:sdtContent>
      </w:sdt>
      <w:r>
        <w:t xml:space="preserve">. </w:t>
      </w:r>
      <w:r w:rsidR="00582918">
        <w:t xml:space="preserve">To solve such a scenario, it would be important for the patient to commit to include the living will which is the most important as it shows personal interest. </w:t>
      </w:r>
    </w:p>
    <w:p w:rsidR="00582918" w:rsidRDefault="00582918" w:rsidP="00582918">
      <w:pPr>
        <w:spacing w:line="480" w:lineRule="auto"/>
        <w:ind w:firstLine="720"/>
      </w:pPr>
      <w:r>
        <w:t xml:space="preserve">Another important question to address when committing to end of life plan is, is it important to be free of pain or to be as alert as possible? Usually, some medical conditions might </w:t>
      </w:r>
      <w:r w:rsidR="00DE42E3">
        <w:t xml:space="preserve">be </w:t>
      </w:r>
      <w:r>
        <w:t>painful but treatment might improve the health</w:t>
      </w:r>
      <w:sdt>
        <w:sdtPr>
          <w:id w:val="1199532"/>
          <w:citation/>
        </w:sdtPr>
        <w:sdtContent>
          <w:fldSimple w:instr=" CITATION Ott10 \l 1033 ">
            <w:r w:rsidR="00A153BC">
              <w:rPr>
                <w:noProof/>
              </w:rPr>
              <w:t xml:space="preserve"> (Ottmann, 2010)</w:t>
            </w:r>
          </w:fldSimple>
        </w:sdtContent>
      </w:sdt>
      <w:r>
        <w:t>. On the other hand, some treatments might be painful and the treatment might not improve the health. Therefore, in such a scenario, a healthcare agent will be important to check the progress of the treatment.</w:t>
      </w:r>
    </w:p>
    <w:p w:rsidR="00DE42E3" w:rsidRDefault="00DE42E3"/>
    <w:p w:rsidR="00382564" w:rsidRDefault="00382564"/>
    <w:p w:rsidR="00382564" w:rsidRDefault="00A153BC" w:rsidP="00A153BC">
      <w:pPr>
        <w:spacing w:line="480" w:lineRule="auto"/>
        <w:jc w:val="center"/>
      </w:pPr>
      <w:r>
        <w:lastRenderedPageBreak/>
        <w:t>References</w:t>
      </w:r>
    </w:p>
    <w:p w:rsidR="00A153BC" w:rsidRDefault="00745D54" w:rsidP="00A153BC">
      <w:pPr>
        <w:pStyle w:val="Bibliography"/>
        <w:spacing w:line="480" w:lineRule="auto"/>
        <w:ind w:left="720" w:hanging="720"/>
        <w:rPr>
          <w:noProof/>
        </w:rPr>
      </w:pPr>
      <w:r>
        <w:fldChar w:fldCharType="begin"/>
      </w:r>
      <w:r w:rsidR="00A153BC">
        <w:instrText xml:space="preserve"> BIBLIOGRAPHY  \l 1033 </w:instrText>
      </w:r>
      <w:r>
        <w:fldChar w:fldCharType="separate"/>
      </w:r>
      <w:r w:rsidR="00A153BC">
        <w:rPr>
          <w:noProof/>
        </w:rPr>
        <w:t xml:space="preserve">Detering, K. M. (2010). The Impact of advance care planning on end of life care in elderly patients. </w:t>
      </w:r>
      <w:r w:rsidR="00A153BC">
        <w:rPr>
          <w:i/>
          <w:iCs/>
          <w:noProof/>
        </w:rPr>
        <w:t>BMJ</w:t>
      </w:r>
      <w:r w:rsidR="00A153BC">
        <w:rPr>
          <w:noProof/>
        </w:rPr>
        <w:t xml:space="preserve"> , 340-347.</w:t>
      </w:r>
    </w:p>
    <w:p w:rsidR="00A153BC" w:rsidRDefault="00A153BC" w:rsidP="00A153BC">
      <w:pPr>
        <w:pStyle w:val="Bibliography"/>
        <w:spacing w:line="480" w:lineRule="auto"/>
        <w:ind w:left="720" w:hanging="720"/>
        <w:rPr>
          <w:noProof/>
        </w:rPr>
      </w:pPr>
      <w:r>
        <w:rPr>
          <w:noProof/>
        </w:rPr>
        <w:t xml:space="preserve">Ottmann, G. (2010). State of the science reviewof advance care planning models. </w:t>
      </w:r>
      <w:r>
        <w:rPr>
          <w:i/>
          <w:iCs/>
          <w:noProof/>
        </w:rPr>
        <w:t>Bundoora, VIC: La Trobe University</w:t>
      </w:r>
      <w:r>
        <w:rPr>
          <w:noProof/>
        </w:rPr>
        <w:t xml:space="preserve"> , 7-10.</w:t>
      </w:r>
    </w:p>
    <w:p w:rsidR="00A153BC" w:rsidRDefault="00A153BC" w:rsidP="00A153BC">
      <w:pPr>
        <w:pStyle w:val="Bibliography"/>
        <w:spacing w:line="480" w:lineRule="auto"/>
        <w:ind w:left="720" w:hanging="720"/>
        <w:rPr>
          <w:noProof/>
        </w:rPr>
      </w:pPr>
      <w:r>
        <w:rPr>
          <w:noProof/>
        </w:rPr>
        <w:t xml:space="preserve">Stevens, M. (2011). Rethinking fundamental assumptions: Support's implications for future reforms. study to understand prognoses and preferences and risk of treatments. </w:t>
      </w:r>
      <w:r>
        <w:rPr>
          <w:i/>
          <w:iCs/>
          <w:noProof/>
        </w:rPr>
        <w:t>J AM Geriatr</w:t>
      </w:r>
      <w:r>
        <w:rPr>
          <w:noProof/>
        </w:rPr>
        <w:t xml:space="preserve"> , 14-21.</w:t>
      </w:r>
    </w:p>
    <w:p w:rsidR="00A153BC" w:rsidRDefault="00745D54" w:rsidP="00A153BC">
      <w:pPr>
        <w:spacing w:line="480" w:lineRule="auto"/>
        <w:ind w:left="720" w:hanging="720"/>
      </w:pPr>
      <w:r>
        <w:fldChar w:fldCharType="end"/>
      </w:r>
    </w:p>
    <w:p w:rsidR="00382564" w:rsidRDefault="00382564"/>
    <w:p w:rsidR="00382564" w:rsidRDefault="00382564"/>
    <w:p w:rsidR="00382564" w:rsidRDefault="00382564"/>
    <w:p w:rsidR="00382564" w:rsidRDefault="00382564"/>
    <w:p w:rsidR="00382564" w:rsidRDefault="00382564"/>
    <w:p w:rsidR="00382564" w:rsidRDefault="00382564"/>
    <w:p w:rsidR="00382564" w:rsidRDefault="00382564"/>
    <w:p w:rsidR="00382564" w:rsidRDefault="00382564"/>
    <w:p w:rsidR="00382564" w:rsidRDefault="00382564"/>
    <w:p w:rsidR="00382564" w:rsidRDefault="00382564"/>
    <w:p w:rsidR="00382564" w:rsidRDefault="00382564"/>
    <w:p w:rsidR="00382564" w:rsidRDefault="00382564"/>
    <w:p w:rsidR="00382564" w:rsidRDefault="00382564"/>
    <w:p w:rsidR="00382564" w:rsidRDefault="00382564"/>
    <w:p w:rsidR="00382564" w:rsidRDefault="00382564"/>
    <w:p w:rsidR="00382564" w:rsidRDefault="00382564"/>
    <w:p w:rsidR="00382564" w:rsidRDefault="00382564"/>
    <w:p w:rsidR="00382564" w:rsidRDefault="00382564"/>
    <w:p w:rsidR="00382564" w:rsidRDefault="00382564"/>
    <w:p w:rsidR="00382564" w:rsidRDefault="00382564"/>
    <w:sectPr w:rsidR="00382564" w:rsidSect="003825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707E" w:rsidRDefault="0072707E" w:rsidP="00382564">
      <w:pPr>
        <w:spacing w:after="0" w:line="240" w:lineRule="auto"/>
      </w:pPr>
      <w:r>
        <w:separator/>
      </w:r>
    </w:p>
  </w:endnote>
  <w:endnote w:type="continuationSeparator" w:id="1">
    <w:p w:rsidR="0072707E" w:rsidRDefault="0072707E" w:rsidP="003825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707E" w:rsidRDefault="0072707E" w:rsidP="00382564">
      <w:pPr>
        <w:spacing w:after="0" w:line="240" w:lineRule="auto"/>
      </w:pPr>
      <w:r>
        <w:separator/>
      </w:r>
    </w:p>
  </w:footnote>
  <w:footnote w:type="continuationSeparator" w:id="1">
    <w:p w:rsidR="0072707E" w:rsidRDefault="0072707E" w:rsidP="003825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918" w:rsidRDefault="00582918">
    <w:pPr>
      <w:pStyle w:val="Header"/>
      <w:jc w:val="right"/>
    </w:pPr>
    <w:r>
      <w:t>ADVANCE CARE PLANNING</w:t>
    </w:r>
    <w:sdt>
      <w:sdtPr>
        <w:id w:val="1199391"/>
        <w:docPartObj>
          <w:docPartGallery w:val="Page Numbers (Top of Page)"/>
          <w:docPartUnique/>
        </w:docPartObj>
      </w:sdtPr>
      <w:sdtContent>
        <w:r>
          <w:t xml:space="preserve">                                                                                                     </w:t>
        </w:r>
        <w:fldSimple w:instr=" PAGE   \* MERGEFORMAT ">
          <w:r w:rsidR="00DE42E3">
            <w:rPr>
              <w:noProof/>
            </w:rPr>
            <w:t>2</w:t>
          </w:r>
        </w:fldSimple>
      </w:sdtContent>
    </w:sdt>
  </w:p>
  <w:p w:rsidR="00582918" w:rsidRDefault="0058291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918" w:rsidRDefault="00582918">
    <w:pPr>
      <w:pStyle w:val="Header"/>
      <w:jc w:val="right"/>
    </w:pPr>
    <w:r>
      <w:t xml:space="preserve">Running head: ADVANCE CARE PLANNING                                                                            </w:t>
    </w:r>
    <w:sdt>
      <w:sdtPr>
        <w:id w:val="1199252"/>
        <w:docPartObj>
          <w:docPartGallery w:val="Page Numbers (Top of Page)"/>
          <w:docPartUnique/>
        </w:docPartObj>
      </w:sdtPr>
      <w:sdtContent>
        <w:fldSimple w:instr=" PAGE   \* MERGEFORMAT ">
          <w:r w:rsidR="00DE42E3">
            <w:rPr>
              <w:noProof/>
            </w:rPr>
            <w:t>1</w:t>
          </w:r>
        </w:fldSimple>
      </w:sdtContent>
    </w:sdt>
  </w:p>
  <w:p w:rsidR="00582918" w:rsidRDefault="0058291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82564"/>
    <w:rsid w:val="000F4B7F"/>
    <w:rsid w:val="001035A8"/>
    <w:rsid w:val="00226B52"/>
    <w:rsid w:val="00266243"/>
    <w:rsid w:val="002F11EC"/>
    <w:rsid w:val="003256FD"/>
    <w:rsid w:val="00382564"/>
    <w:rsid w:val="00582918"/>
    <w:rsid w:val="005831B2"/>
    <w:rsid w:val="006F279D"/>
    <w:rsid w:val="0072707E"/>
    <w:rsid w:val="00745D54"/>
    <w:rsid w:val="00850FB7"/>
    <w:rsid w:val="008B3680"/>
    <w:rsid w:val="00994E35"/>
    <w:rsid w:val="00A153BC"/>
    <w:rsid w:val="00CD69AE"/>
    <w:rsid w:val="00D25B43"/>
    <w:rsid w:val="00DE42E3"/>
    <w:rsid w:val="00F53E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5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564"/>
  </w:style>
  <w:style w:type="paragraph" w:styleId="Footer">
    <w:name w:val="footer"/>
    <w:basedOn w:val="Normal"/>
    <w:link w:val="FooterChar"/>
    <w:uiPriority w:val="99"/>
    <w:semiHidden/>
    <w:unhideWhenUsed/>
    <w:rsid w:val="0038256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82564"/>
  </w:style>
  <w:style w:type="paragraph" w:styleId="BalloonText">
    <w:name w:val="Balloon Text"/>
    <w:basedOn w:val="Normal"/>
    <w:link w:val="BalloonTextChar"/>
    <w:uiPriority w:val="99"/>
    <w:semiHidden/>
    <w:unhideWhenUsed/>
    <w:rsid w:val="003825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564"/>
    <w:rPr>
      <w:rFonts w:ascii="Tahoma" w:hAnsi="Tahoma" w:cs="Tahoma"/>
      <w:sz w:val="16"/>
      <w:szCs w:val="16"/>
    </w:rPr>
  </w:style>
  <w:style w:type="paragraph" w:styleId="Bibliography">
    <w:name w:val="Bibliography"/>
    <w:basedOn w:val="Normal"/>
    <w:next w:val="Normal"/>
    <w:uiPriority w:val="37"/>
    <w:unhideWhenUsed/>
    <w:rsid w:val="00A153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Ste11</b:Tag>
    <b:SourceType>JournalArticle</b:SourceType>
    <b:Guid>{64538FBB-292D-4607-BE98-2136DAC6A34C}</b:Guid>
    <b:LCID>0</b:LCID>
    <b:Author>
      <b:Author>
        <b:NameList>
          <b:Person>
            <b:Last>Stevens</b:Last>
            <b:First>M.</b:First>
          </b:Person>
        </b:NameList>
      </b:Author>
    </b:Author>
    <b:Title>Rethinking fundamental assumptions: Support's implications for future reforms. study to understand prognoses and preferences and risk of treatments.</b:Title>
    <b:JournalName>J AM Geriatr</b:JournalName>
    <b:Year>2011</b:Year>
    <b:Pages>14-21</b:Pages>
    <b:RefOrder>3</b:RefOrder>
  </b:Source>
  <b:Source>
    <b:Tag>Det10</b:Tag>
    <b:SourceType>JournalArticle</b:SourceType>
    <b:Guid>{0192D3A5-939A-4B85-8F10-B7DCA189893E}</b:Guid>
    <b:LCID>0</b:LCID>
    <b:Author>
      <b:Author>
        <b:NameList>
          <b:Person>
            <b:Last>Detering</b:Last>
            <b:First>K</b:First>
            <b:Middle>M.</b:Middle>
          </b:Person>
        </b:NameList>
      </b:Author>
    </b:Author>
    <b:Title>The Impact of advance care planning on end of life care in elderly patients</b:Title>
    <b:JournalName>BMJ</b:JournalName>
    <b:Year>2010</b:Year>
    <b:Pages>340-347</b:Pages>
    <b:RefOrder>2</b:RefOrder>
  </b:Source>
  <b:Source>
    <b:Tag>Ott10</b:Tag>
    <b:SourceType>JournalArticle</b:SourceType>
    <b:Guid>{F2C96175-499B-4B07-A5A9-AFC1769EF65F}</b:Guid>
    <b:LCID>0</b:LCID>
    <b:Author>
      <b:Author>
        <b:NameList>
          <b:Person>
            <b:Last>Ottmann</b:Last>
            <b:First>G.</b:First>
          </b:Person>
        </b:NameList>
      </b:Author>
    </b:Author>
    <b:Title>State of the science reviewof advance care planning models</b:Title>
    <b:JournalName>Bundoora, VIC: La Trobe University</b:JournalName>
    <b:Year>2010</b:Year>
    <b:Pages>7-10</b:Pages>
    <b:RefOrder>1</b:RefOrder>
  </b:Source>
</b:Sources>
</file>

<file path=customXml/itemProps1.xml><?xml version="1.0" encoding="utf-8"?>
<ds:datastoreItem xmlns:ds="http://schemas.openxmlformats.org/officeDocument/2006/customXml" ds:itemID="{FED3CEDC-2B61-43B0-9350-31D4C83AB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649</Words>
  <Characters>3701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2019-01-25T13:01:00Z</dcterms:created>
  <dcterms:modified xsi:type="dcterms:W3CDTF">2019-01-25T13:01:00Z</dcterms:modified>
</cp:coreProperties>
</file>